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98C1">
      <w:pPr>
        <w:wordWrap/>
        <w:autoSpaceDE w:val="0"/>
        <w:autoSpaceDN w:val="0"/>
        <w:spacing w:before="320" w:after="0" w:line="360" w:lineRule="atLeast"/>
        <w:ind w:left="920" w:right="980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2"/>
          <w:lang w:val="en-US" w:eastAsia="zh-CN"/>
        </w:rPr>
        <w:t>评分表</w:t>
      </w:r>
    </w:p>
    <w:p w14:paraId="36D9F8AB">
      <w:pPr>
        <w:wordWrap/>
        <w:autoSpaceDE w:val="0"/>
        <w:autoSpaceDN w:val="0"/>
        <w:spacing w:before="320" w:after="0" w:line="360" w:lineRule="atLeast"/>
        <w:ind w:left="920" w:right="980"/>
        <w:jc w:val="both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项目名称：广州中医药大学第一附属医院白云医院眼科视光相关服务项目</w:t>
      </w:r>
    </w:p>
    <w:p w14:paraId="7DA0203A">
      <w:pPr>
        <w:numPr>
          <w:ilvl w:val="0"/>
          <w:numId w:val="1"/>
        </w:numPr>
        <w:wordWrap/>
        <w:autoSpaceDE w:val="0"/>
        <w:autoSpaceDN w:val="0"/>
        <w:spacing w:before="580" w:after="0" w:line="360" w:lineRule="atLeast"/>
        <w:ind w:left="1520" w:right="0"/>
        <w:jc w:val="both"/>
        <w:textAlignment w:val="auto"/>
        <w:rPr>
          <w:rFonts w:ascii="宋体" w:hAnsi="宋体" w:eastAsia="宋体" w:cs="宋体"/>
          <w:b/>
          <w:i w:val="0"/>
          <w:color w:val="000000"/>
          <w:sz w:val="22"/>
        </w:rPr>
      </w:pPr>
      <w:r>
        <w:rPr>
          <w:rFonts w:ascii="宋体" w:hAnsi="宋体" w:eastAsia="宋体" w:cs="宋体"/>
          <w:b/>
          <w:i w:val="0"/>
          <w:color w:val="000000"/>
          <w:sz w:val="22"/>
        </w:rPr>
        <w:t>响应性评审表(25分)</w:t>
      </w:r>
    </w:p>
    <w:p w14:paraId="4C53DBBF">
      <w:pPr>
        <w:wordWrap/>
        <w:spacing w:before="60" w:after="0" w:line="240" w:lineRule="exact"/>
        <w:ind w:left="0" w:right="0"/>
        <w:textAlignment w:val="auto"/>
      </w:pPr>
    </w:p>
    <w:tbl>
      <w:tblPr>
        <w:tblStyle w:val="3"/>
        <w:tblW w:w="9350" w:type="dxa"/>
        <w:tblInd w:w="80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68"/>
        <w:gridCol w:w="528"/>
        <w:gridCol w:w="6740"/>
      </w:tblGrid>
      <w:tr w14:paraId="03DF4C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4" w:type="dxa"/>
            <w:vAlign w:val="center"/>
          </w:tcPr>
          <w:p w14:paraId="18E18447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1268" w:type="dxa"/>
            <w:vAlign w:val="center"/>
          </w:tcPr>
          <w:p w14:paraId="762C9620"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528" w:type="dxa"/>
            <w:vAlign w:val="center"/>
          </w:tcPr>
          <w:p w14:paraId="33017D6B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740" w:type="dxa"/>
            <w:vAlign w:val="center"/>
          </w:tcPr>
          <w:p w14:paraId="45885822"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评分标准</w:t>
            </w:r>
          </w:p>
        </w:tc>
      </w:tr>
      <w:tr w14:paraId="1E2C55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814" w:type="dxa"/>
            <w:vMerge w:val="restart"/>
            <w:vAlign w:val="center"/>
          </w:tcPr>
          <w:p w14:paraId="5486E340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68" w:type="dxa"/>
            <w:vAlign w:val="center"/>
          </w:tcPr>
          <w:p w14:paraId="6E118770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同类项目业绩</w:t>
            </w:r>
          </w:p>
        </w:tc>
        <w:tc>
          <w:tcPr>
            <w:tcW w:w="528" w:type="dxa"/>
            <w:vAlign w:val="center"/>
          </w:tcPr>
          <w:p w14:paraId="0F5C7E89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0" w:type="dxa"/>
            <w:vAlign w:val="center"/>
          </w:tcPr>
          <w:p w14:paraId="17C459FF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提供2020年至今具有同类(三级甲等)项目的管理，每个业绩得5分，最高10分。</w:t>
            </w:r>
          </w:p>
          <w:p w14:paraId="1FE82270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(注：需提供完整的合同，合同中不能充分体现项目建设规模和特征的，可另附业主证明材料：合同、业主证明材料(如有)提供复印件加盖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公章。)</w:t>
            </w:r>
          </w:p>
        </w:tc>
      </w:tr>
      <w:tr w14:paraId="39D0C3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</w:trPr>
        <w:tc>
          <w:tcPr>
            <w:tcW w:w="814" w:type="dxa"/>
            <w:vMerge w:val="continue"/>
          </w:tcPr>
          <w:p w14:paraId="7A5E26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135BB52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项目人员资质情况</w:t>
            </w:r>
          </w:p>
        </w:tc>
        <w:tc>
          <w:tcPr>
            <w:tcW w:w="528" w:type="dxa"/>
            <w:vAlign w:val="center"/>
          </w:tcPr>
          <w:p w14:paraId="329473B3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40" w:type="dxa"/>
            <w:vAlign w:val="center"/>
          </w:tcPr>
          <w:p w14:paraId="1139D9A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项目人员资质情况，包括项目人员的学历资质及同类服务经验资质，按以下要求进行评审：</w:t>
            </w:r>
          </w:p>
          <w:p w14:paraId="508B12F9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一、学历资质占6分：</w:t>
            </w:r>
          </w:p>
          <w:p w14:paraId="7EFCAC82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1.提供2名具有大专学历的得4分，</w:t>
            </w:r>
          </w:p>
          <w:p w14:paraId="5652862D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2.提供2名具有本科学历的得6分。</w:t>
            </w:r>
          </w:p>
          <w:p w14:paraId="6CCF947C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注：须提供学历证书，标的截止日之前六个月以内任意月份的代缴个税税单或《社会保险参保人员证明》等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；</w:t>
            </w:r>
          </w:p>
          <w:p w14:paraId="0EFEB7BE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眼视光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服务经验资质占6分：</w:t>
            </w:r>
          </w:p>
          <w:p w14:paraId="24943165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项目人员不少于半年(含)同类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眼视光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服务经验。每提供1名得2分，本项最高得6分。</w:t>
            </w:r>
          </w:p>
          <w:p w14:paraId="7495B76F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注：须提供学历证书、验光师执业证书、经验证明材料及以上人员在委托方服务的外部证明材料扫描件，如标的截止日之前六个月以内任意月份的代缴个税税单或《社会保险参保人员证明》等。无提供的不得分。</w:t>
            </w:r>
          </w:p>
        </w:tc>
      </w:tr>
      <w:tr w14:paraId="07F8F3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814" w:type="dxa"/>
            <w:vMerge w:val="continue"/>
          </w:tcPr>
          <w:p w14:paraId="0FC38B7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D6ECAF3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528" w:type="dxa"/>
            <w:vAlign w:val="center"/>
          </w:tcPr>
          <w:p w14:paraId="2CF970F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0" w:type="dxa"/>
            <w:vAlign w:val="center"/>
          </w:tcPr>
          <w:p w14:paraId="050F2033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注册资本进行横向对比，由高到低依次排名：第一名得3分，第二名得2分，第三名得1分，后面的不得分。</w:t>
            </w:r>
          </w:p>
          <w:p w14:paraId="130B1349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注：①注册资本时限须在本项目信息公告发布之日前：②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需提供营业执照复印件并加盖公章；③如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注册资本相同则排名并列，下一个名次被占位，例如：当排名2家并列第一时均得3分，下一名次为第三得1分，以此类推。本项最高得3分，无提供证明材料者不得分。</w:t>
            </w:r>
          </w:p>
        </w:tc>
      </w:tr>
      <w:tr w14:paraId="7113D1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14" w:type="dxa"/>
            <w:vMerge w:val="continue"/>
          </w:tcPr>
          <w:p w14:paraId="53C48E8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0FE2879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528" w:type="dxa"/>
            <w:vAlign w:val="center"/>
          </w:tcPr>
          <w:p w14:paraId="78BCE677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40" w:type="dxa"/>
            <w:vAlign w:val="center"/>
          </w:tcPr>
          <w:p w14:paraId="3FD41437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C6D5D2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p w14:paraId="7DF04E67">
      <w:pPr>
        <w:wordWrap/>
        <w:spacing w:before="580" w:after="0" w:line="2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3"/>
        <w:tblW w:w="5003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153"/>
        <w:gridCol w:w="712"/>
        <w:gridCol w:w="7801"/>
      </w:tblGrid>
      <w:tr w14:paraId="1E9796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13" w:type="pct"/>
            <w:vMerge w:val="restart"/>
            <w:vAlign w:val="center"/>
          </w:tcPr>
          <w:p w14:paraId="693E88A1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45%</w:t>
            </w:r>
          </w:p>
        </w:tc>
        <w:tc>
          <w:tcPr>
            <w:tcW w:w="559" w:type="pct"/>
            <w:vAlign w:val="center"/>
          </w:tcPr>
          <w:p w14:paraId="18CFD288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技术参数</w:t>
            </w:r>
          </w:p>
        </w:tc>
        <w:tc>
          <w:tcPr>
            <w:tcW w:w="345" w:type="pct"/>
            <w:vAlign w:val="center"/>
          </w:tcPr>
          <w:p w14:paraId="4E95D50D">
            <w:pPr>
              <w:wordWrap/>
              <w:spacing w:before="0" w:after="0" w:line="240" w:lineRule="exact"/>
              <w:ind w:left="0" w:right="0" w:firstLine="2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781" w:type="pct"/>
            <w:vAlign w:val="center"/>
          </w:tcPr>
          <w:p w14:paraId="2BCFD91F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1.项目需求书中所提供的设备技术参数要求下的所列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设备的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技术参数中带“▲”条款(共8项)响应，完全满足或优于技术参数每一条得2分，本项最高得16分。</w:t>
            </w:r>
          </w:p>
          <w:p w14:paraId="11D4B0CA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2.对以下设备技术参数中非"△"条款的响应，生物测量仪参数、角模地形图仪 参数、电脑验光仪参数、瞳孔全自动跟踪电脑验光仪参数、眼底照相机参数全部满足或优于技术参数得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分；每负偏离或不满足技术参数1项扣1分，直至扣完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 。</w:t>
            </w:r>
          </w:p>
        </w:tc>
      </w:tr>
      <w:tr w14:paraId="57D1DB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313" w:type="pct"/>
            <w:vMerge w:val="continue"/>
          </w:tcPr>
          <w:p w14:paraId="262E0E49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E74051B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优惠政策</w:t>
            </w:r>
          </w:p>
        </w:tc>
        <w:tc>
          <w:tcPr>
            <w:tcW w:w="345" w:type="pct"/>
            <w:vAlign w:val="center"/>
          </w:tcPr>
          <w:p w14:paraId="5C69720E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1" w:type="pct"/>
            <w:vAlign w:val="center"/>
          </w:tcPr>
          <w:p w14:paraId="068AABA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提供的“对医院职工优惠政策”方案进行评分，提供承诺函，并加盖公章。</w:t>
            </w:r>
          </w:p>
          <w:p w14:paraId="179C0389">
            <w:pPr>
              <w:wordWrap/>
              <w:autoSpaceDE w:val="0"/>
              <w:autoSpaceDN w:val="0"/>
              <w:spacing w:before="20" w:after="0" w:line="2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提供的对医院职工优惠政策5折(含)以下，方案全面、详细的，得10分:</w:t>
            </w:r>
          </w:p>
          <w:p w14:paraId="260BE2FE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提供的对医院职工优惠政策6折(含)，方案全面、详细的，得8分：3.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提供的对医院职工优惠政策7折(含)，方案全面、详细的，得6分：4.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提供的对医院职工优惠政策8折(含)，方案全面、详细的，得4分：5.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提供的对医院职工优惠政策9折(含)，方案全面、详细的，得2分：6.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提供的对医院职工优惠政策9折(不含)以上不得分。</w:t>
            </w:r>
          </w:p>
        </w:tc>
      </w:tr>
      <w:tr w14:paraId="6AEF5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313" w:type="pct"/>
            <w:vMerge w:val="continue"/>
          </w:tcPr>
          <w:p w14:paraId="694D283C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1A435984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培训方案</w:t>
            </w:r>
          </w:p>
        </w:tc>
        <w:tc>
          <w:tcPr>
            <w:tcW w:w="345" w:type="pct"/>
            <w:vAlign w:val="bottom"/>
          </w:tcPr>
          <w:p w14:paraId="54B9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168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81" w:type="pct"/>
            <w:vAlign w:val="center"/>
          </w:tcPr>
          <w:p w14:paraId="17D581B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结合自身优势，提供对医院职工及患者完整的培训方案，方案须明确培训的次数及培训的内容：</w:t>
            </w:r>
          </w:p>
          <w:p w14:paraId="3C36AE7C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1.方案内容占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分，内容包括但不限于眼睛近视防护培训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职工消防培训、礼仪培训等：</w:t>
            </w:r>
          </w:p>
          <w:p w14:paraId="525824F0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方案详尽完整，逻辑性强，可执行性强，横向对比优得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分；</w:t>
            </w:r>
          </w:p>
          <w:p w14:paraId="7EF70201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方案内容较详尽、逻辑性较强、可执行性较强，横向对比中得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分；方案内容笼统，逻辑一般，可执行性较弱，横向对比较差得1分；未提供不得分；</w:t>
            </w:r>
          </w:p>
          <w:p w14:paraId="2C844F5B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2.方案中培训的次数占2分：每月超过2次(含)，得2分；</w:t>
            </w:r>
          </w:p>
          <w:p w14:paraId="28F57652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每月达到1次的得1分：方案中未约定次数的此项不得分。</w:t>
            </w:r>
          </w:p>
        </w:tc>
      </w:tr>
      <w:tr w14:paraId="789C0F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313" w:type="pct"/>
            <w:vMerge w:val="continue"/>
          </w:tcPr>
          <w:p w14:paraId="41D24E89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537646C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服务方案</w:t>
            </w:r>
          </w:p>
        </w:tc>
        <w:tc>
          <w:tcPr>
            <w:tcW w:w="345" w:type="pct"/>
            <w:vAlign w:val="bottom"/>
          </w:tcPr>
          <w:p w14:paraId="15F3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120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81" w:type="pct"/>
            <w:vAlign w:val="center"/>
          </w:tcPr>
          <w:p w14:paraId="10BA10B4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结合医院人员情况、消费群体、标的现状和医院规范管理要求等指标，提出经营服务方案，包括服务、投诉处理、纠纷处理、应急处理及安全管理等，并进行横向对比：</w:t>
            </w:r>
          </w:p>
          <w:p w14:paraId="051EDA5E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1.标的服务方案精细全面，各项制度健全，综合对比优得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分；</w:t>
            </w:r>
          </w:p>
          <w:p w14:paraId="7E9B9F7F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2.标的服务方案基本完整，各项制度基本完善，综合对比中等得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分；</w:t>
            </w:r>
          </w:p>
          <w:p w14:paraId="0A7393D0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3.标的服务方案较差，各项制度不健全，综合对比较差得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分；</w:t>
            </w:r>
          </w:p>
          <w:p w14:paraId="45478503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4.未提供服务方案不得分；</w:t>
            </w:r>
          </w:p>
        </w:tc>
      </w:tr>
      <w:tr w14:paraId="28B98B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313" w:type="pct"/>
            <w:vMerge w:val="continue"/>
          </w:tcPr>
          <w:p w14:paraId="0E85BDF2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3198167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质量保障</w:t>
            </w:r>
          </w:p>
          <w:p w14:paraId="5AEB1C08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措施</w:t>
            </w:r>
          </w:p>
        </w:tc>
        <w:tc>
          <w:tcPr>
            <w:tcW w:w="345" w:type="pct"/>
            <w:vAlign w:val="bottom"/>
          </w:tcPr>
          <w:p w14:paraId="31AB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120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1" w:type="pct"/>
            <w:vAlign w:val="center"/>
          </w:tcPr>
          <w:p w14:paraId="14EBEEB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提供的质量保证方案进行评分；</w:t>
            </w:r>
          </w:p>
          <w:p w14:paraId="387A1AE2">
            <w:pPr>
              <w:wordWrap/>
              <w:autoSpaceDE w:val="0"/>
              <w:autoSpaceDN w:val="0"/>
              <w:spacing w:before="20" w:after="0" w:line="2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优：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对本项目拟投入运营的物品质量保证，正规渠道进货，货物统一配送，可追溯货源的得3分：</w:t>
            </w:r>
          </w:p>
          <w:p w14:paraId="4058993D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良：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对本项目拟投入运营的部分物品质量保证，未体现进货渠道的、部分货源可追溯的得2分；</w:t>
            </w:r>
          </w:p>
          <w:p w14:paraId="4F9FBEBE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差：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对本项目拟投入运营的部分物品质量保证，未体现进货渠道、货物</w:t>
            </w:r>
          </w:p>
          <w:p w14:paraId="317F6E52">
            <w:pPr>
              <w:wordWrap/>
              <w:autoSpaceDE w:val="0"/>
              <w:autoSpaceDN w:val="0"/>
              <w:spacing w:before="20" w:after="0" w:line="2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2"/>
                <w:szCs w:val="22"/>
              </w:rPr>
              <w:t>不是统一配送的，不能追溯货源的得1分。</w:t>
            </w:r>
          </w:p>
        </w:tc>
      </w:tr>
      <w:tr w14:paraId="22633D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3" w:type="pct"/>
            <w:vAlign w:val="center"/>
          </w:tcPr>
          <w:p w14:paraId="013F13DC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559" w:type="pct"/>
            <w:vAlign w:val="center"/>
          </w:tcPr>
          <w:p w14:paraId="493535FF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526B8A0E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81" w:type="pct"/>
            <w:vAlign w:val="center"/>
          </w:tcPr>
          <w:p w14:paraId="1CE12A1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D725373">
      <w:pPr>
        <w:wordWrap/>
        <w:autoSpaceDE w:val="0"/>
        <w:autoSpaceDN w:val="0"/>
        <w:spacing w:before="60" w:after="0" w:line="260" w:lineRule="atLeast"/>
        <w:ind w:right="0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16"/>
        </w:rPr>
        <w:sectPr>
          <w:pgSz w:w="11900" w:h="16820"/>
          <w:pgMar w:top="800" w:right="800" w:bottom="800" w:left="800" w:header="720" w:footer="720" w:gutter="0"/>
          <w:cols w:space="720" w:num="1"/>
        </w:sectPr>
      </w:pPr>
    </w:p>
    <w:tbl>
      <w:tblPr>
        <w:tblStyle w:val="3"/>
        <w:tblW w:w="12120" w:type="dxa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4895"/>
        <w:gridCol w:w="1420"/>
        <w:gridCol w:w="3267"/>
      </w:tblGrid>
      <w:tr w14:paraId="7AB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价格算分表</w:t>
            </w:r>
          </w:p>
        </w:tc>
      </w:tr>
      <w:tr w14:paraId="14CE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7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项目名称：广州中医药大学第一附属医院白云医院眼科视光相关服务项目</w:t>
            </w:r>
          </w:p>
        </w:tc>
      </w:tr>
      <w:tr w14:paraId="24D3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项目编号：广中医一院白云医院招【2025】7号</w:t>
            </w:r>
          </w:p>
        </w:tc>
      </w:tr>
      <w:tr w14:paraId="46AC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此项目权值分：      </w:t>
            </w:r>
          </w:p>
        </w:tc>
        <w:tc>
          <w:tcPr>
            <w:tcW w:w="95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A2A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此项目最低标价（元）：</w:t>
            </w:r>
          </w:p>
        </w:tc>
        <w:tc>
          <w:tcPr>
            <w:tcW w:w="9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2919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(元，人民币）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价格得分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6F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61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9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67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4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68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7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D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计算方式：最低价格者为满分（即权值分），其他投标人价格得分为：权值分×最低报价/该投标人的最终报价</w:t>
            </w:r>
          </w:p>
        </w:tc>
      </w:tr>
    </w:tbl>
    <w:p w14:paraId="03E11D52">
      <w:pPr>
        <w:wordWrap/>
        <w:autoSpaceDE w:val="0"/>
        <w:autoSpaceDN w:val="0"/>
        <w:spacing w:before="60" w:after="0" w:line="260" w:lineRule="atLeast"/>
        <w:ind w:right="0" w:firstLine="1280" w:firstLineChars="80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16"/>
        </w:rPr>
        <w:t>注：1、</w:t>
      </w:r>
      <w:r>
        <w:rPr>
          <w:rFonts w:hint="eastAsia" w:ascii="宋体" w:hAnsi="宋体" w:eastAsia="宋体" w:cs="宋体"/>
          <w:b w:val="0"/>
          <w:i w:val="0"/>
          <w:color w:val="000000"/>
          <w:sz w:val="16"/>
          <w:lang w:val="en-US" w:eastAsia="zh-CN"/>
        </w:rPr>
        <w:t>投标人</w:t>
      </w:r>
      <w:r>
        <w:rPr>
          <w:rFonts w:ascii="宋体" w:hAnsi="宋体" w:eastAsia="宋体" w:cs="宋体"/>
          <w:b w:val="0"/>
          <w:i w:val="0"/>
          <w:color w:val="000000"/>
          <w:sz w:val="16"/>
        </w:rPr>
        <w:t>报价低于挂牌价格为无效报价。</w:t>
      </w:r>
    </w:p>
    <w:p w14:paraId="6D7252A7">
      <w:pPr>
        <w:wordWrap/>
        <w:autoSpaceDE w:val="0"/>
        <w:autoSpaceDN w:val="0"/>
        <w:spacing w:before="60" w:after="0" w:line="260" w:lineRule="atLeast"/>
        <w:ind w:right="0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16"/>
        </w:rPr>
      </w:pPr>
    </w:p>
    <w:sectPr>
      <w:pgSz w:w="16820" w:h="11900" w:orient="landscape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05936"/>
    <w:multiLevelType w:val="singleLevel"/>
    <w:tmpl w:val="51505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compatSetting w:name="compatibilityMode" w:uri="http://schemas.microsoft.com/office/word" w:val="15"/>
  </w:compat>
  <w:docVars>
    <w:docVar w:name="commondata" w:val="eyJoZGlkIjoiMzU0ODZhYmQwNTA1NzI3NzFjYTYzZGQyZWUwOWFhZWMifQ=="/>
  </w:docVars>
  <w:rsids>
    <w:rsidRoot w:val="00172A27"/>
    <w:rsid w:val="031E451D"/>
    <w:rsid w:val="03A26EFC"/>
    <w:rsid w:val="0C875A67"/>
    <w:rsid w:val="17746C4E"/>
    <w:rsid w:val="1B3C4F3C"/>
    <w:rsid w:val="1CD00EE5"/>
    <w:rsid w:val="1F186BDB"/>
    <w:rsid w:val="22EA7082"/>
    <w:rsid w:val="249B5576"/>
    <w:rsid w:val="255B061B"/>
    <w:rsid w:val="26C51C3D"/>
    <w:rsid w:val="30AE3BB9"/>
    <w:rsid w:val="3BB222F8"/>
    <w:rsid w:val="458A4B79"/>
    <w:rsid w:val="483F5EB5"/>
    <w:rsid w:val="4E345F70"/>
    <w:rsid w:val="53E915AA"/>
    <w:rsid w:val="5BFE7BBD"/>
    <w:rsid w:val="5D250556"/>
    <w:rsid w:val="7E185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1832</Words>
  <Characters>1870</Characters>
  <TotalTime>24</TotalTime>
  <ScaleCrop>false</ScaleCrop>
  <LinksUpToDate>false</LinksUpToDate>
  <CharactersWithSpaces>1879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2025-02-24T01:19:00Z</dcterms:created>
  <dc:creator>Apache POI</dc:creator>
  <cp:lastModifiedBy>不吃香菜</cp:lastModifiedBy>
  <cp:lastPrinted>2025-04-10T08:25:00Z</cp:lastPrinted>
  <dcterms:modified xsi:type="dcterms:W3CDTF">2025-04-23T03:24:59Z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74AC9284B807494193CAD591251A6CD5_12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